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540" w:lineRule="exact"/>
        <w:rPr>
          <w:rFonts w:hint="eastAsia" w:ascii="黑体" w:hAnsi="黑体" w:eastAsia="黑体"/>
          <w:color w:val="auto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 xml:space="preserve">附件 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4</w:t>
      </w:r>
    </w:p>
    <w:p>
      <w:pPr>
        <w:spacing w:line="360" w:lineRule="auto"/>
        <w:jc w:val="center"/>
        <w:rPr>
          <w:rFonts w:hint="eastAsia" w:ascii="宋体" w:hAnsi="宋体"/>
          <w:b/>
          <w:color w:val="auto"/>
          <w:sz w:val="36"/>
          <w:szCs w:val="36"/>
        </w:rPr>
      </w:pPr>
      <w:r>
        <w:rPr>
          <w:rFonts w:hint="eastAsia" w:ascii="宋体" w:hAnsi="宋体"/>
          <w:b/>
          <w:color w:val="auto"/>
          <w:sz w:val="36"/>
          <w:szCs w:val="36"/>
        </w:rPr>
        <w:t>贵州新闻奖参评作品推荐表</w:t>
      </w:r>
    </w:p>
    <w:tbl>
      <w:tblPr>
        <w:tblStyle w:val="5"/>
        <w:tblW w:w="97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450"/>
        <w:gridCol w:w="343"/>
        <w:gridCol w:w="2492"/>
        <w:gridCol w:w="1350"/>
        <w:gridCol w:w="893"/>
        <w:gridCol w:w="567"/>
        <w:gridCol w:w="2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exact"/>
          <w:jc w:val="center"/>
        </w:trPr>
        <w:tc>
          <w:tcPr>
            <w:tcW w:w="1551" w:type="dxa"/>
            <w:gridSpan w:val="2"/>
            <w:vMerge w:val="restart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作品标题</w:t>
            </w:r>
          </w:p>
        </w:tc>
        <w:tc>
          <w:tcPr>
            <w:tcW w:w="41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</w:rPr>
              <w:t>488公里画廊打造</w:t>
            </w:r>
            <w:r>
              <w:rPr>
                <w:rFonts w:hint="eastAsia" w:ascii="宋体" w:hAnsi="宋体" w:cs="宋体"/>
                <w:b/>
                <w:bCs/>
                <w:color w:val="auto"/>
                <w:sz w:val="20"/>
                <w:szCs w:val="20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</w:rPr>
              <w:t>旅游线</w:t>
            </w:r>
            <w:r>
              <w:rPr>
                <w:rFonts w:hint="eastAsia" w:ascii="宋体" w:hAnsi="宋体" w:cs="宋体"/>
                <w:b/>
                <w:bCs/>
                <w:color w:val="auto"/>
                <w:sz w:val="20"/>
                <w:szCs w:val="20"/>
                <w:lang w:eastAsia="zh-CN"/>
              </w:rPr>
              <w:t>”</w:t>
            </w:r>
            <w:r>
              <w:rPr>
                <w:rFonts w:hint="eastAsia" w:ascii="宋体" w:hAnsi="宋体" w:cs="宋体"/>
                <w:b/>
                <w:bCs/>
                <w:color w:val="auto"/>
                <w:sz w:val="20"/>
                <w:szCs w:val="20"/>
                <w:lang w:val="en-US" w:eastAsia="zh-CN"/>
              </w:rPr>
              <w:t xml:space="preserve"> </w:t>
            </w:r>
          </w:p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</w:rPr>
              <w:t>42个传统村落镶嵌</w:t>
            </w:r>
            <w:r>
              <w:rPr>
                <w:rFonts w:hint="eastAsia" w:ascii="宋体" w:hAnsi="宋体" w:cs="宋体"/>
                <w:b/>
                <w:bCs/>
                <w:color w:val="auto"/>
                <w:sz w:val="20"/>
                <w:szCs w:val="20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</w:rPr>
              <w:t>珍珠链</w:t>
            </w:r>
            <w:r>
              <w:rPr>
                <w:rFonts w:hint="eastAsia" w:ascii="宋体" w:hAnsi="宋体" w:cs="宋体"/>
                <w:b/>
                <w:bCs/>
                <w:color w:val="auto"/>
                <w:sz w:val="20"/>
                <w:szCs w:val="20"/>
                <w:lang w:eastAsia="zh-CN"/>
              </w:rPr>
              <w:t>”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default" w:ascii="Arial Black" w:hAnsi="Arial Black" w:cs="Arial Black"/>
                <w:b/>
                <w:bCs/>
                <w:color w:val="auto"/>
                <w:sz w:val="24"/>
                <w:szCs w:val="24"/>
                <w:lang w:eastAsia="zh-CN"/>
              </w:rPr>
              <w:t>“</w:t>
            </w:r>
            <w:r>
              <w:rPr>
                <w:rFonts w:hint="default" w:ascii="Arial Black" w:hAnsi="Arial Black" w:eastAsia="宋体" w:cs="Arial Black"/>
                <w:b/>
                <w:bCs/>
                <w:color w:val="auto"/>
                <w:sz w:val="24"/>
                <w:szCs w:val="24"/>
              </w:rPr>
              <w:t>中国乡村旅游1号公路</w:t>
            </w:r>
            <w:r>
              <w:rPr>
                <w:rFonts w:hint="default" w:ascii="Arial Black" w:hAnsi="Arial Black" w:cs="Arial Black"/>
                <w:b/>
                <w:bCs/>
                <w:color w:val="auto"/>
                <w:sz w:val="24"/>
                <w:szCs w:val="24"/>
                <w:lang w:eastAsia="zh-CN"/>
              </w:rPr>
              <w:t>”</w:t>
            </w:r>
            <w:r>
              <w:rPr>
                <w:rFonts w:hint="default" w:ascii="Arial Black" w:hAnsi="Arial Black" w:eastAsia="宋体" w:cs="Arial Black"/>
                <w:b/>
                <w:bCs/>
                <w:color w:val="auto"/>
                <w:sz w:val="24"/>
                <w:szCs w:val="24"/>
              </w:rPr>
              <w:t>全线启动</w:t>
            </w:r>
          </w:p>
        </w:tc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参评项目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消息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exact"/>
          <w:jc w:val="center"/>
        </w:trPr>
        <w:tc>
          <w:tcPr>
            <w:tcW w:w="1551" w:type="dxa"/>
            <w:gridSpan w:val="2"/>
            <w:vMerge w:val="continue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</w:p>
        </w:tc>
        <w:tc>
          <w:tcPr>
            <w:tcW w:w="41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体裁</w:t>
            </w: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" w:hAnsi="仿宋" w:eastAsia="仿宋"/>
                <w:color w:val="auto"/>
                <w:sz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消息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5" w:hRule="exact"/>
          <w:jc w:val="center"/>
        </w:trPr>
        <w:tc>
          <w:tcPr>
            <w:tcW w:w="1551" w:type="dxa"/>
            <w:gridSpan w:val="2"/>
            <w:vMerge w:val="continue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</w:p>
        </w:tc>
        <w:tc>
          <w:tcPr>
            <w:tcW w:w="4185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</w:p>
        </w:tc>
        <w:tc>
          <w:tcPr>
            <w:tcW w:w="8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语种</w:t>
            </w:r>
          </w:p>
        </w:tc>
        <w:tc>
          <w:tcPr>
            <w:tcW w:w="311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51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auto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pacing w:val="-12"/>
                <w:sz w:val="28"/>
              </w:rPr>
              <w:t>作  者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auto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auto"/>
                <w:spacing w:val="-12"/>
                <w:sz w:val="24"/>
              </w:rPr>
              <w:t>（主创人员）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spacing w:before="5" w:line="232" w:lineRule="auto"/>
              <w:ind w:left="107" w:right="22"/>
              <w:jc w:val="center"/>
              <w:rPr>
                <w:rFonts w:hint="eastAsia" w:ascii="华文中宋" w:hAnsi="华文中宋" w:eastAsia="仿宋"/>
                <w:color w:val="auto"/>
                <w:sz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韦启悬 王书燕 吴义环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编辑</w:t>
            </w:r>
          </w:p>
        </w:tc>
        <w:tc>
          <w:tcPr>
            <w:tcW w:w="40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color w:val="auto"/>
                <w:w w:val="95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周重新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顾慧明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exact"/>
          <w:jc w:val="center"/>
        </w:trPr>
        <w:tc>
          <w:tcPr>
            <w:tcW w:w="155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lang w:val="en-US" w:eastAsia="zh-CN"/>
              </w:rPr>
              <w:t>原创</w:t>
            </w:r>
            <w:r>
              <w:rPr>
                <w:rFonts w:hint="eastAsia" w:ascii="华文中宋" w:hAnsi="华文中宋" w:eastAsia="华文中宋"/>
                <w:color w:val="auto"/>
                <w:sz w:val="28"/>
              </w:rPr>
              <w:t>单位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黔东南州融媒体中心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华文中宋" w:hAnsi="华文中宋" w:eastAsia="华文中宋"/>
                <w:color w:val="auto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lang w:val="en-US" w:eastAsia="zh-CN"/>
              </w:rPr>
              <w:t>刊播单位</w:t>
            </w:r>
          </w:p>
        </w:tc>
        <w:tc>
          <w:tcPr>
            <w:tcW w:w="40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auto"/>
                <w:w w:val="95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黔东南日报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  <w:jc w:val="center"/>
        </w:trPr>
        <w:tc>
          <w:tcPr>
            <w:tcW w:w="1551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auto"/>
                <w:sz w:val="24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auto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auto"/>
                <w:spacing w:val="-12"/>
                <w:sz w:val="24"/>
              </w:rPr>
              <w:t>名称和版次)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第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1版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lang w:val="en-US" w:eastAsia="zh-CN"/>
              </w:rPr>
              <w:t>刊播</w:t>
            </w:r>
            <w:r>
              <w:rPr>
                <w:rFonts w:hint="eastAsia" w:ascii="华文中宋" w:hAnsi="华文中宋" w:eastAsia="华文中宋"/>
                <w:color w:val="auto"/>
                <w:sz w:val="28"/>
              </w:rPr>
              <w:t>日期</w:t>
            </w:r>
          </w:p>
        </w:tc>
        <w:tc>
          <w:tcPr>
            <w:tcW w:w="40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color w:val="auto"/>
                <w:w w:val="95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2023年9月28日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8" w:hRule="exact"/>
          <w:jc w:val="center"/>
        </w:trPr>
        <w:tc>
          <w:tcPr>
            <w:tcW w:w="1101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︵</w:t>
            </w:r>
          </w:p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采作</w:t>
            </w:r>
          </w:p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编品</w:t>
            </w:r>
          </w:p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过简</w:t>
            </w:r>
          </w:p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程介</w:t>
            </w:r>
          </w:p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︶</w:t>
            </w:r>
          </w:p>
        </w:tc>
        <w:tc>
          <w:tcPr>
            <w:tcW w:w="864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>2023年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9月27日，“中国乡村旅游1号公路”全线启动。这是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eastAsia="zh-CN"/>
              </w:rPr>
              <w:t>作为全国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>30个民族自治州的贵州黔东南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和中国国家地理杂志社联合推出的乡村振兴之路、幸福快乐之路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eastAsia="zh-CN"/>
              </w:rPr>
              <w:t>的一件大事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，是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eastAsia="zh-CN"/>
              </w:rPr>
              <w:t>多彩贵州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打造对接融入粤港澳大湾区“桥头堡”生态旅游康养区的重要举措，对推动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eastAsia="zh-CN"/>
              </w:rPr>
              <w:t>贵州全域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旅游产业发展、完善交通基础设施、提高城乡交通运输能力、带动沿线村镇经济发展、助推乡村振兴。得知这一消息前，记者第一时间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eastAsia="zh-CN"/>
              </w:rPr>
              <w:t>向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相关部门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eastAsia="zh-CN"/>
              </w:rPr>
              <w:t>采访核实，做足采访“功课”。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启动仪式当天，记者辗转雷山、榕江等地蹲点采访，精心选取公路沿线有代表性的人物和事件，以小切口反映大主题，鲜活、生动地讲述好“中国乡村旅游1号公路” 全线启动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eastAsia="zh-CN"/>
              </w:rPr>
              <w:t>这一事件。</w:t>
            </w:r>
          </w:p>
          <w:p>
            <w:pPr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color w:val="7E7E7E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7" w:hRule="exact"/>
          <w:jc w:val="center"/>
        </w:trPr>
        <w:tc>
          <w:tcPr>
            <w:tcW w:w="1101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社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会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效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果</w:t>
            </w:r>
          </w:p>
        </w:tc>
        <w:tc>
          <w:tcPr>
            <w:tcW w:w="864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作品在报、网、端各个平台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eastAsia="zh-CN"/>
              </w:rPr>
              <w:t>同步发出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，实现了“一次采集、多种生成、多元传播”效果，取得了新闻性强、即时性强、交互性强、共享性强，传播效果好的成效。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eastAsia="zh-CN"/>
              </w:rPr>
              <w:t>这一组报道发出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后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eastAsia="zh-CN"/>
              </w:rPr>
              <w:t>迅速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掀起“中国乡村旅游1号公路”自驾游之风，吸引众多游客慕名前来黔东南自驾打卡，“中国乡村旅游1号公路”自驾成为了一种新时尚，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eastAsia="zh-CN"/>
              </w:rPr>
              <w:t>多彩贵州、锦绣黔东南文旅持续火热，加持村超、村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>BA出圈流量，贵州旅游经济提振和复苏得到极大提速提质。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8" w:hRule="exact"/>
          <w:jc w:val="center"/>
        </w:trPr>
        <w:tc>
          <w:tcPr>
            <w:tcW w:w="1101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 xml:space="preserve">  ︵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初推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评荐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评理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语由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 xml:space="preserve">  ︶</w:t>
            </w:r>
          </w:p>
        </w:tc>
        <w:tc>
          <w:tcPr>
            <w:tcW w:w="864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eastAsia="zh-CN"/>
              </w:rPr>
              <w:t>这篇新闻消息的成功之处集中表现在以下三点：一是精准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聚焦重大主题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eastAsia="zh-CN"/>
              </w:rPr>
              <w:t>。新闻事件具有唯一性和首发性，这则消息成功把地方党委、政府打造的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中国乡村旅游1号公路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eastAsia="zh-CN"/>
              </w:rPr>
              <w:t>推出面世，有效形成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信息传播、鼓舞人心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eastAsia="zh-CN"/>
              </w:rPr>
              <w:t>和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文旅宣传、推动发展的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eastAsia="zh-CN"/>
              </w:rPr>
              <w:t>良好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舆论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eastAsia="zh-CN"/>
              </w:rPr>
              <w:t>氛围。二是独具慧眼提炼新闻标题。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这篇消息标题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eastAsia="zh-CN"/>
              </w:rPr>
              <w:t>十分醒目和凝练，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精准捕捉了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eastAsia="zh-CN"/>
              </w:rPr>
              <w:t>“中国乡村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>1号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>公路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事件核心,记者全面、深入地报道事件的全过程，展现了“中国乡村旅游1号公路”全线启动的积极影响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eastAsia="zh-CN"/>
              </w:rPr>
              <w:t>力。三是记者采访翔实、编辑下了精编功夫。这则不足千字的消息内容选择详略得当，有现场、有背景、有细节、有画面、有述评，编辑精心打磨稿件，极大提升了舆论引导力和新闻传播力。</w:t>
            </w:r>
          </w:p>
          <w:p>
            <w:pPr>
              <w:spacing w:line="360" w:lineRule="exact"/>
              <w:ind w:firstLine="3864" w:firstLineChars="1400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28"/>
              </w:rPr>
              <w:t>签名：</w:t>
            </w:r>
          </w:p>
          <w:p>
            <w:pPr>
              <w:spacing w:line="360" w:lineRule="exact"/>
              <w:ind w:firstLine="5460" w:firstLineChars="1950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</w:rPr>
              <w:t>（盖单位公章）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</w:rPr>
              <w:t xml:space="preserve">                  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</w:rPr>
              <w:t xml:space="preserve">年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</w:rPr>
              <w:t xml:space="preserve"> 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</w:rPr>
              <w:t xml:space="preserve">  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exact"/>
          <w:jc w:val="center"/>
        </w:trPr>
        <w:tc>
          <w:tcPr>
            <w:tcW w:w="18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  <w:szCs w:val="28"/>
              </w:rPr>
              <w:t>联系人(作者)</w:t>
            </w:r>
          </w:p>
        </w:tc>
        <w:tc>
          <w:tcPr>
            <w:tcW w:w="3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韦启悬</w:t>
            </w: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18722872079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2YTU2OTk4ZDkyNTFhMjc1YTM3ODNkMjg5NmRiMWMifQ=="/>
  </w:docVars>
  <w:rsids>
    <w:rsidRoot w:val="3CB17E01"/>
    <w:rsid w:val="00E04AC3"/>
    <w:rsid w:val="0E073C02"/>
    <w:rsid w:val="0EB05A39"/>
    <w:rsid w:val="0FEB39D9"/>
    <w:rsid w:val="12EB3CF0"/>
    <w:rsid w:val="150D619F"/>
    <w:rsid w:val="15E20374"/>
    <w:rsid w:val="18572EA7"/>
    <w:rsid w:val="1A0538E9"/>
    <w:rsid w:val="1BD417C5"/>
    <w:rsid w:val="200A3A07"/>
    <w:rsid w:val="21255DEB"/>
    <w:rsid w:val="226513C9"/>
    <w:rsid w:val="26AD2157"/>
    <w:rsid w:val="28B25141"/>
    <w:rsid w:val="29341AF5"/>
    <w:rsid w:val="2A0B0AA8"/>
    <w:rsid w:val="2B7E174D"/>
    <w:rsid w:val="2CF00429"/>
    <w:rsid w:val="35696FCA"/>
    <w:rsid w:val="36A15267"/>
    <w:rsid w:val="3A445910"/>
    <w:rsid w:val="3CB17E01"/>
    <w:rsid w:val="3EA370A9"/>
    <w:rsid w:val="3F3D5750"/>
    <w:rsid w:val="45464C32"/>
    <w:rsid w:val="45D40490"/>
    <w:rsid w:val="474927B8"/>
    <w:rsid w:val="49366D6C"/>
    <w:rsid w:val="49B77EAC"/>
    <w:rsid w:val="4CCC03DE"/>
    <w:rsid w:val="4EF23EC9"/>
    <w:rsid w:val="511931FB"/>
    <w:rsid w:val="52BC4786"/>
    <w:rsid w:val="54AA722A"/>
    <w:rsid w:val="585F1E3B"/>
    <w:rsid w:val="5A3C3330"/>
    <w:rsid w:val="5A89319F"/>
    <w:rsid w:val="5C0C052C"/>
    <w:rsid w:val="5D526412"/>
    <w:rsid w:val="5D5274B3"/>
    <w:rsid w:val="60D759C9"/>
    <w:rsid w:val="6166423A"/>
    <w:rsid w:val="674C7A2E"/>
    <w:rsid w:val="6A6D7FCC"/>
    <w:rsid w:val="6CA420BB"/>
    <w:rsid w:val="6EC95C51"/>
    <w:rsid w:val="717402AD"/>
    <w:rsid w:val="76870A83"/>
    <w:rsid w:val="79030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unhideWhenUsed/>
    <w:qFormat/>
    <w:uiPriority w:val="99"/>
    <w:pPr>
      <w:spacing w:after="120"/>
    </w:p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">
    <w:name w:val="Body Text First Indent"/>
    <w:basedOn w:val="2"/>
    <w:unhideWhenUsed/>
    <w:qFormat/>
    <w:uiPriority w:val="99"/>
    <w:pPr>
      <w:ind w:firstLine="420" w:firstLineChars="100"/>
    </w:pPr>
  </w:style>
  <w:style w:type="paragraph" w:customStyle="1" w:styleId="7">
    <w:name w:val="Table Paragraph"/>
    <w:basedOn w:val="1"/>
    <w:autoRedefine/>
    <w:qFormat/>
    <w:uiPriority w:val="1"/>
    <w:rPr>
      <w:rFonts w:ascii="仿宋" w:hAnsi="仿宋" w:eastAsia="仿宋" w:cs="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2024-03-05T07:23:00Z</dcterms:created>
  <dc:creator>风语</dc:creator>
  <cp:lastModifiedBy>断了弦的吉他</cp:lastModifiedBy>
  <dcterms:modified xsi:type="dcterms:W3CDTF">2024-03-22T07:18:09Z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42278DED515A4322B9449D7D7031ABBA_11</vt:lpwstr>
  </property>
</Properties>
</file>